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480" w:lineRule="exact"/>
        <w:ind w:left="0" w:leftChars="0" w:firstLine="0" w:firstLineChars="0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</w:rPr>
        <w:t>附件3：</w:t>
      </w:r>
    </w:p>
    <w:p>
      <w:pPr>
        <w:spacing w:line="440" w:lineRule="exact"/>
        <w:ind w:left="4658" w:leftChars="0" w:hanging="4658" w:hangingChars="145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z w:val="32"/>
          <w:szCs w:val="32"/>
        </w:rPr>
        <w:t>巢湖学院</w:t>
      </w:r>
      <w:r>
        <w:rPr>
          <w:rFonts w:ascii="黑体" w:hAnsi="宋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宋体" w:eastAsia="黑体" w:cs="黑体"/>
          <w:b/>
          <w:bCs/>
          <w:sz w:val="32"/>
          <w:szCs w:val="32"/>
        </w:rPr>
        <w:t>23</w:t>
      </w:r>
      <w:r>
        <w:rPr>
          <w:rFonts w:ascii="黑体" w:hAnsi="宋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宋体" w:eastAsia="黑体" w:cs="黑体"/>
          <w:b/>
          <w:bCs/>
          <w:sz w:val="32"/>
          <w:szCs w:val="32"/>
        </w:rPr>
        <w:t>24学年第一学期期中教学检查二级学院整改工作计划表</w:t>
      </w:r>
    </w:p>
    <w:p>
      <w:pPr>
        <w:spacing w:line="440" w:lineRule="exact"/>
        <w:ind w:left="3494" w:leftChars="0" w:hanging="3494" w:hangingChars="1450"/>
        <w:rPr>
          <w:rFonts w:hint="default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</w:rPr>
        <w:t>学院</w:t>
      </w:r>
      <w:r>
        <w:rPr>
          <w:rFonts w:hint="eastAsia" w:ascii="黑体" w:hAnsi="宋体" w:eastAsia="黑体"/>
          <w:b/>
          <w:sz w:val="24"/>
          <w:u w:val="single"/>
        </w:rPr>
        <w:t xml:space="preserve">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4"/>
          <w:lang w:val="en-US" w:eastAsia="zh-CN"/>
        </w:rPr>
        <w:t>填写时间</w:t>
      </w:r>
      <w:r>
        <w:rPr>
          <w:rFonts w:hint="eastAsia" w:ascii="黑体" w:hAnsi="宋体" w:eastAsia="黑体"/>
          <w:b/>
          <w:sz w:val="24"/>
          <w:u w:val="single"/>
        </w:rPr>
        <w:t xml:space="preserve">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60"/>
        <w:gridCol w:w="3780"/>
        <w:gridCol w:w="2822"/>
        <w:gridCol w:w="3854"/>
        <w:gridCol w:w="1010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333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观测点</w:t>
            </w:r>
          </w:p>
        </w:tc>
        <w:tc>
          <w:tcPr>
            <w:tcW w:w="995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问题清单</w:t>
            </w:r>
          </w:p>
        </w:tc>
        <w:tc>
          <w:tcPr>
            <w:tcW w:w="135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整改措施</w:t>
            </w:r>
          </w:p>
        </w:tc>
        <w:tc>
          <w:tcPr>
            <w:tcW w:w="356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整改责任人</w:t>
            </w:r>
          </w:p>
        </w:tc>
        <w:tc>
          <w:tcPr>
            <w:tcW w:w="298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思政教育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333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1.思政课程建设与成效（马克思主义学院）</w:t>
            </w:r>
          </w:p>
        </w:tc>
        <w:tc>
          <w:tcPr>
            <w:tcW w:w="99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hint="default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思政课程教育教学开展情况与改革成效（马克思主义学院）</w:t>
            </w:r>
          </w:p>
        </w:tc>
        <w:tc>
          <w:tcPr>
            <w:tcW w:w="99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hint="default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1.思想政治工作体系建设和“三全育人”工作格局建立情况（其他学院）</w:t>
            </w:r>
          </w:p>
        </w:tc>
        <w:tc>
          <w:tcPr>
            <w:tcW w:w="99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tcBorders>
              <w:bottom w:val="single" w:color="auto" w:sz="4" w:space="0"/>
            </w:tcBorders>
            <w:vAlign w:val="center"/>
          </w:tcPr>
          <w:p>
            <w:pPr>
              <w:ind w:left="300" w:leftChars="0"/>
              <w:rPr>
                <w:rFonts w:hint="default" w:ascii="仿宋_GB2312" w:hAnsi="Calibri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hint="default" w:ascii="方正仿宋_GBK" w:hAnsi="方正仿宋_GBK" w:eastAsia="方正仿宋_GBK" w:cs="方正仿宋_GBK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课程思政建设与成效（其他学院）</w:t>
            </w:r>
          </w:p>
        </w:tc>
        <w:tc>
          <w:tcPr>
            <w:tcW w:w="99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tcBorders>
              <w:bottom w:val="single" w:color="auto" w:sz="4" w:space="0"/>
            </w:tcBorders>
            <w:vAlign w:val="center"/>
          </w:tcPr>
          <w:p>
            <w:pPr>
              <w:ind w:left="300" w:leftChars="0"/>
              <w:rPr>
                <w:rFonts w:hint="default" w:ascii="仿宋_GB2312" w:hAnsi="Calibri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与课程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333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1.专业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结构改革、专业建设规划及建设成效</w:t>
            </w:r>
          </w:p>
        </w:tc>
        <w:tc>
          <w:tcPr>
            <w:tcW w:w="99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Align w:val="center"/>
          </w:tcPr>
          <w:p>
            <w:pPr>
              <w:ind w:leftChars="0"/>
              <w:rPr>
                <w:rFonts w:hint="default" w:ascii="仿宋_GB2312" w:eastAsia="仿宋_GB2312" w:cs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2.2023级人才培养方案修订及落实情况</w:t>
            </w:r>
          </w:p>
        </w:tc>
        <w:tc>
          <w:tcPr>
            <w:tcW w:w="99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3.专业认证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展情况</w:t>
            </w:r>
          </w:p>
        </w:tc>
        <w:tc>
          <w:tcPr>
            <w:tcW w:w="99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hint="default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4.课程建设</w:t>
            </w:r>
          </w:p>
        </w:tc>
        <w:tc>
          <w:tcPr>
            <w:tcW w:w="99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5.教学资源建设情况</w:t>
            </w:r>
          </w:p>
        </w:tc>
        <w:tc>
          <w:tcPr>
            <w:tcW w:w="99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tcBorders>
              <w:bottom w:val="single" w:color="auto" w:sz="4" w:space="0"/>
            </w:tcBorders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tcBorders>
              <w:bottom w:val="single" w:color="auto" w:sz="4" w:space="0"/>
            </w:tcBorders>
            <w:vAlign w:val="center"/>
          </w:tcPr>
          <w:p>
            <w:pPr>
              <w:ind w:leftChars="0"/>
              <w:rPr>
                <w:rFonts w:asci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实践教学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333" w:type="pct"/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1.强化实践育人、构建实践教学体系、推动实践教学改革</w:t>
            </w: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.实习实训基地建设及使用情况</w:t>
            </w: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Align w:val="center"/>
          </w:tcPr>
          <w:p>
            <w:pPr>
              <w:ind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vAlign w:val="center"/>
          </w:tcPr>
          <w:p>
            <w:pPr>
              <w:ind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.近三届毕业论文（设计）选题与工作开展情况</w:t>
            </w: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Align w:val="center"/>
          </w:tcPr>
          <w:p>
            <w:pPr>
              <w:ind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vAlign w:val="center"/>
          </w:tcPr>
          <w:p>
            <w:pPr>
              <w:ind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Align w:val="center"/>
          </w:tcPr>
          <w:p>
            <w:pPr>
              <w:ind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vAlign w:val="center"/>
          </w:tcPr>
          <w:p>
            <w:pPr>
              <w:ind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课堂教学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333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1.课堂教学改革和教学评价改革</w:t>
            </w: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vAlign w:val="center"/>
          </w:tcPr>
          <w:p>
            <w:pPr>
              <w:ind w:left="0" w:leftChars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.教材出版和使用</w:t>
            </w: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Align w:val="center"/>
          </w:tcPr>
          <w:p>
            <w:pPr>
              <w:ind w:left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vAlign w:val="center"/>
          </w:tcPr>
          <w:p>
            <w:pPr>
              <w:ind w:left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333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基层教学组织和青年教师队伍建设举措与成效</w:t>
            </w: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方正仿宋_GBK" w:hAnsi="宋体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vAlign w:val="center"/>
          </w:tcPr>
          <w:p>
            <w:pPr>
              <w:ind w:left="0" w:leftChars="0"/>
              <w:rPr>
                <w:rFonts w:hint="default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2.教学团队建设与工作开展</w:t>
            </w: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方正仿宋_GBK" w:hAnsi="宋体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333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1.学院教学质量管理制度、标准、质量管理队伍、质量文化建设情况</w:t>
            </w: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方正仿宋_GBK" w:hAnsi="宋体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听课、二级教学督导、学生教学信息员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学业导师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工作开展情况</w:t>
            </w: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宋体" w:hAnsi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ascii="方正仿宋_GBK" w:hAnsi="宋体" w:eastAsia="方正仿宋_GBK"/>
                <w:b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3.教学质量持续改进机制建设及成效。</w:t>
            </w:r>
          </w:p>
        </w:tc>
        <w:tc>
          <w:tcPr>
            <w:tcW w:w="99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方正仿宋_GBK" w:hAnsi="宋体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pct"/>
            <w:vAlign w:val="center"/>
          </w:tcPr>
          <w:p>
            <w:pPr>
              <w:ind w:left="0" w:leftChars="0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vAlign w:val="center"/>
          </w:tcPr>
          <w:p>
            <w:pPr>
              <w:ind w:leftChars="0"/>
              <w:rPr>
                <w:rFonts w:ascii="方正仿宋_GBK" w:hAnsi="宋体" w:eastAsia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" w:type="pct"/>
            <w:vAlign w:val="center"/>
          </w:tcPr>
          <w:p>
            <w:pPr>
              <w:ind w:leftChars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left="4076" w:leftChars="0" w:hanging="4076" w:hangingChars="1450"/>
        <w:rPr>
          <w:rFonts w:hint="eastAsia" w:ascii="黑体" w:hAnsi="宋体" w:eastAsia="黑体"/>
          <w:b/>
          <w:sz w:val="28"/>
          <w:szCs w:val="28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630"/>
      </w:pPr>
      <w:r>
        <w:separator/>
      </w:r>
    </w:p>
  </w:endnote>
  <w:endnote w:type="continuationSeparator" w:id="1">
    <w:p>
      <w:pPr>
        <w:ind w:lef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ind w:left="63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630"/>
      </w:pPr>
      <w:r>
        <w:separator/>
      </w:r>
    </w:p>
  </w:footnote>
  <w:footnote w:type="continuationSeparator" w:id="1">
    <w:p>
      <w:pPr>
        <w:ind w:lef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ind w:left="63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OWVlYTdjY2YwMmUxMGNhNjNhYWYzODM2MmE1NTQifQ=="/>
  </w:docVars>
  <w:rsids>
    <w:rsidRoot w:val="00F16B12"/>
    <w:rsid w:val="00080BF0"/>
    <w:rsid w:val="00260B48"/>
    <w:rsid w:val="0044074D"/>
    <w:rsid w:val="00454553"/>
    <w:rsid w:val="00487112"/>
    <w:rsid w:val="009C3541"/>
    <w:rsid w:val="00F05822"/>
    <w:rsid w:val="00F16B12"/>
    <w:rsid w:val="03962305"/>
    <w:rsid w:val="05866C65"/>
    <w:rsid w:val="06E67100"/>
    <w:rsid w:val="111569C9"/>
    <w:rsid w:val="11391F9B"/>
    <w:rsid w:val="14633803"/>
    <w:rsid w:val="17AB18B8"/>
    <w:rsid w:val="1ADA7E9A"/>
    <w:rsid w:val="1B4F78A9"/>
    <w:rsid w:val="1C6C6261"/>
    <w:rsid w:val="1D3B06D8"/>
    <w:rsid w:val="1E431488"/>
    <w:rsid w:val="1E7E0EB4"/>
    <w:rsid w:val="20C229FD"/>
    <w:rsid w:val="28606B0E"/>
    <w:rsid w:val="28C24091"/>
    <w:rsid w:val="291B2D6C"/>
    <w:rsid w:val="2C271DE5"/>
    <w:rsid w:val="31A91067"/>
    <w:rsid w:val="31B320D7"/>
    <w:rsid w:val="33057F67"/>
    <w:rsid w:val="35387B32"/>
    <w:rsid w:val="391B682D"/>
    <w:rsid w:val="3BFC5433"/>
    <w:rsid w:val="3EDC5590"/>
    <w:rsid w:val="40DE777C"/>
    <w:rsid w:val="41F2476C"/>
    <w:rsid w:val="42946003"/>
    <w:rsid w:val="4CE52F83"/>
    <w:rsid w:val="541A41C3"/>
    <w:rsid w:val="561D553B"/>
    <w:rsid w:val="56A30D85"/>
    <w:rsid w:val="5A1F516D"/>
    <w:rsid w:val="5B8A124C"/>
    <w:rsid w:val="62A31718"/>
    <w:rsid w:val="645361DC"/>
    <w:rsid w:val="6A91245A"/>
    <w:rsid w:val="6C5E57D7"/>
    <w:rsid w:val="6DA01424"/>
    <w:rsid w:val="704E395A"/>
    <w:rsid w:val="70832F18"/>
    <w:rsid w:val="741339FC"/>
    <w:rsid w:val="74490102"/>
    <w:rsid w:val="752462D3"/>
    <w:rsid w:val="76462920"/>
    <w:rsid w:val="767123F4"/>
    <w:rsid w:val="790013D5"/>
    <w:rsid w:val="79AF4EE8"/>
    <w:rsid w:val="7A6D4434"/>
    <w:rsid w:val="7B0A610D"/>
    <w:rsid w:val="7B4F5B93"/>
    <w:rsid w:val="7C664024"/>
    <w:rsid w:val="7D16192F"/>
    <w:rsid w:val="7DB154FE"/>
    <w:rsid w:val="7DC4182E"/>
    <w:rsid w:val="7FA13B61"/>
    <w:rsid w:val="7F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300" w:leftChars="3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目录A"/>
    <w:basedOn w:val="1"/>
    <w:qFormat/>
    <w:uiPriority w:val="0"/>
    <w:pPr>
      <w:spacing w:line="700" w:lineRule="exact"/>
      <w:jc w:val="center"/>
    </w:pPr>
    <w:rPr>
      <w:rFonts w:hint="eastAsia" w:ascii="黑体" w:hAnsi="黑体" w:eastAsia="黑体" w:cs="Courier New"/>
      <w:b/>
      <w:bCs/>
      <w:sz w:val="36"/>
      <w:szCs w:val="36"/>
    </w:rPr>
  </w:style>
  <w:style w:type="paragraph" w:customStyle="1" w:styleId="12">
    <w:name w:val="目录B"/>
    <w:basedOn w:val="1"/>
    <w:qFormat/>
    <w:uiPriority w:val="0"/>
    <w:pPr>
      <w:keepNext/>
      <w:keepLines/>
      <w:ind w:left="2700" w:hanging="2700"/>
      <w:jc w:val="center"/>
      <w:outlineLvl w:val="0"/>
    </w:pPr>
    <w:rPr>
      <w:rFonts w:hint="eastAsia" w:ascii="黑体" w:hAnsi="黑体" w:eastAsia="黑体"/>
      <w:b/>
      <w:bCs/>
      <w:kern w:val="44"/>
      <w:sz w:val="36"/>
      <w:szCs w:val="36"/>
    </w:rPr>
  </w:style>
  <w:style w:type="character" w:customStyle="1" w:styleId="13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753</Words>
  <Characters>4293</Characters>
  <Lines>35</Lines>
  <Paragraphs>10</Paragraphs>
  <TotalTime>15</TotalTime>
  <ScaleCrop>false</ScaleCrop>
  <LinksUpToDate>false</LinksUpToDate>
  <CharactersWithSpaces>5036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2023-10-18T08:05:00Z</dcterms:created>
  <dc:creator>Administrator</dc:creator>
  <cp:lastModifiedBy>笑鼛</cp:lastModifiedBy>
  <cp:lastPrinted>2023-11-03T01:15:00Z</cp:lastPrinted>
  <dcterms:modified xsi:type="dcterms:W3CDTF">2023-11-03T06:37:01Z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85FB1170281D48299D917FABB5596864_13</vt:lpwstr>
  </property>
</Properties>
</file>